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Ngychom Lending — Training Manual</w:t>
      </w:r>
    </w:p>
    <w:p>
      <w:pPr>
        <w:pStyle w:val="Heading1"/>
      </w:pPr>
      <w:r>
        <w:t xml:space="preserve">Session formats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Track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Audience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</w:tr>
      <w:tr>
        <w:tc>
          <w:tcPr>
            <w:tcW w:w="0" w:type="auto"/>
          </w:tcPr>
          <w:p>
            <w:r>
              <w:t xml:space="preserve">Borrower</w:t>
            </w:r>
          </w:p>
        </w:tc>
        <w:tc>
          <w:tcPr>
            <w:tcW w:w="0" w:type="auto"/>
          </w:tcPr>
          <w:p>
            <w:r>
              <w:t xml:space="preserve">Customers and frontline/support staff</w:t>
            </w:r>
          </w:p>
        </w:tc>
        <w:tc>
          <w:tcPr>
            <w:tcW w:w="0" w:type="auto"/>
          </w:tcPr>
          <w:p>
            <w:r>
              <w:t xml:space="preserve">40 min</w:t>
            </w:r>
          </w:p>
        </w:tc>
      </w:tr>
      <w:tr>
        <w:tc>
          <w:tcPr>
            <w:tcW w:w="0" w:type="auto"/>
          </w:tcPr>
          <w:p>
            <w:r>
              <w:t xml:space="preserve">Underwriting &amp; servicing</w:t>
            </w:r>
          </w:p>
        </w:tc>
        <w:tc>
          <w:tcPr>
            <w:tcW w:w="0" w:type="auto"/>
          </w:tcPr>
          <w:p>
            <w:r>
              <w:t xml:space="preserve">Credit analysts, loan officers</w:t>
            </w:r>
          </w:p>
        </w:tc>
        <w:tc>
          <w:tcPr>
            <w:tcW w:w="0" w:type="auto"/>
          </w:tcPr>
          <w:p>
            <w:r>
              <w:t xml:space="preserve">90 min</w:t>
            </w:r>
          </w:p>
        </w:tc>
      </w:tr>
      <w:tr>
        <w:tc>
          <w:tcPr>
            <w:tcW w:w="0" w:type="auto"/>
          </w:tcPr>
          <w:p>
            <w:r>
              <w:t xml:space="preserve">Administration</w:t>
            </w:r>
          </w:p>
        </w:tc>
        <w:tc>
          <w:tcPr>
            <w:tcW w:w="0" w:type="auto"/>
          </w:tcPr>
          <w:p>
            <w:r>
              <w:t xml:space="preserve">Credit manager, compliance, owner</w:t>
            </w:r>
          </w:p>
        </w:tc>
        <w:tc>
          <w:tcPr>
            <w:tcW w:w="0" w:type="auto"/>
          </w:tcPr>
          <w:p>
            <w:r>
              <w:t xml:space="preserve">60 min</w:t>
            </w:r>
          </w:p>
        </w:tc>
      </w:tr>
    </w:tbl>
    <w:p/>
    <w:p>
      <w:pPr>
        <w:pStyle w:val="Heading1"/>
      </w:pPr>
      <w:r>
        <w:t xml:space="preserve">Track 1 — Borrower / frontline (40 min)</w:t>
      </w:r>
    </w:p>
    <w:p>
      <w:pPr>
        <w:pStyle w:val="Heading2"/>
      </w:pPr>
      <w:r>
        <w:t xml:space="preserve">1.1 Register and complete KYC</w:t>
      </w:r>
    </w:p>
    <w:p>
      <w:pPr>
        <w:pStyle w:val="Normal"/>
      </w:pPr>
      <w:r>
        <w:t xml:space="preserve">Goal: get an applicant credit-ready.</w:t>
      </w:r>
    </w:p>
    <w:p>
      <w:pPr>
        <w:pStyle w:val="Normal"/>
      </w:pPr>
      <w:r>
        <w:t xml:space="preserve">☐ Applicant can apply; KYC status is approved and visible on the profile.</w:t>
      </w:r>
    </w:p>
    <w:p>
      <w:pPr>
        <w:pStyle w:val="Heading2"/>
      </w:pPr>
      <w:r>
        <w:t xml:space="preserve">1.2 Apply and read the outcome</w:t>
      </w:r>
    </w:p>
    <w:p>
      <w:pPr>
        <w:pStyle w:val="Normal"/>
      </w:pPr>
      <w:r>
        <w:t xml:space="preserve">Goal: submit an application and interpret the decision.</w:t>
      </w:r>
    </w:p>
    <w:p>
      <w:pPr>
        <w:pStyle w:val="Normal"/>
      </w:pPr>
      <w:r>
        <w:t xml:space="preserve">☐ Trainee can say which rule decided the outcome and why.</w:t>
      </w:r>
    </w:p>
    <w:p>
      <w:pPr>
        <w:pStyle w:val="Heading2"/>
      </w:pPr>
      <w:r>
        <w:t xml:space="preserve">1.3 Accept an offer and repay</w:t>
      </w:r>
    </w:p>
    <w:p>
      <w:pPr>
        <w:pStyle w:val="Normal"/>
      </w:pPr>
      <w:r>
        <w:t xml:space="preserve">Goal: complete the lifecycle from the borrower's side.</w:t>
      </w:r>
    </w:p>
    <w:p>
      <w:pPr>
        <w:pStyle w:val="Normal"/>
      </w:pPr>
      <w:r>
        <w:t xml:space="preserve">☐ Borrower completed: offer → signature → schedule → payment.</w:t>
      </w:r>
    </w:p>
    <w:p>
      <w:pPr>
        <w:pStyle w:val="Heading1"/>
      </w:pPr>
      <w:r>
        <w:t xml:space="preserve">Track 2 — Underwriting &amp; servicing (90 min)</w:t>
      </w:r>
    </w:p>
    <w:p>
      <w:pPr>
        <w:pStyle w:val="Heading2"/>
      </w:pPr>
      <w:r>
        <w:t xml:space="preserve">2.1 Work the queue</w:t>
      </w:r>
    </w:p>
    <w:p>
      <w:pPr>
        <w:pStyle w:val="Normal"/>
      </w:pPr>
      <w:r>
        <w:t xml:space="preserve">Goal: take three applications to decision.</w:t>
      </w:r>
    </w:p>
    <w:p>
      <w:pPr>
        <w:pStyle w:val="Normal"/>
      </w:pPr>
      <w:r>
        <w:t xml:space="preserve">☐ Two decisions recorded, each with a reason on the timeline and in the audit trail.</w:t>
      </w:r>
    </w:p>
    <w:p>
      <w:pPr>
        <w:pStyle w:val="Heading2"/>
      </w:pPr>
      <w:r>
        <w:t xml:space="preserve">2.2 Prove affordability by hand</w:t>
      </w:r>
    </w:p>
    <w:p>
      <w:pPr>
        <w:pStyle w:val="Normal"/>
      </w:pPr>
      <w:r>
        <w:t xml:space="preserve">Goal: reproduce the decision maths without the screen.</w:t>
      </w:r>
    </w:p>
    <w:p>
      <w:pPr>
        <w:pStyle w:val="Normal"/>
      </w:pPr>
      <w:r>
        <w:t xml:space="preserve">☐ Trainee can state the DTI, the ceiling and the effect of an income change.</w:t>
      </w:r>
    </w:p>
    <w:p>
      <w:pPr>
        <w:pStyle w:val="Heading2"/>
      </w:pPr>
      <w:r>
        <w:t xml:space="preserve">2.3 Change policy and see the effect</w:t>
      </w:r>
    </w:p>
    <w:p>
      <w:pPr>
        <w:pStyle w:val="Normal"/>
      </w:pPr>
      <w:r>
        <w:t xml:space="preserve">Goal: tune the rules engine safely.</w:t>
      </w:r>
    </w:p>
    <w:p>
      <w:pPr>
        <w:pStyle w:val="Normal"/>
      </w:pPr>
      <w:r>
        <w:t xml:space="preserve">☐ Trainee can describe the risk trade-off of tightening a rule and reverted the change.</w:t>
      </w:r>
    </w:p>
    <w:p>
      <w:pPr>
        <w:pStyle w:val="Heading2"/>
      </w:pPr>
      <w:r>
        <w:t xml:space="preserve">2.4 Disburse and service a loan</w:t>
      </w:r>
    </w:p>
    <w:p>
      <w:pPr>
        <w:pStyle w:val="Normal"/>
      </w:pPr>
      <w:r>
        <w:t xml:space="preserve">Goal: run the loan from disbursement to a cleared instalment.</w:t>
      </w:r>
    </w:p>
    <w:p>
      <w:pPr>
        <w:pStyle w:val="Normal"/>
      </w:pPr>
      <w:r>
        <w:t xml:space="preserve">☐ Disbursement, payment, delinquency flag, collection note and write-off all recorded.</w:t>
      </w:r>
    </w:p>
    <w:p>
      <w:pPr>
        <w:pStyle w:val="Heading1"/>
      </w:pPr>
      <w:r>
        <w:t xml:space="preserve">Track 3 — Administration (60 min)</w:t>
      </w:r>
    </w:p>
    <w:p>
      <w:pPr>
        <w:pStyle w:val="Heading2"/>
      </w:pPr>
      <w:r>
        <w:t xml:space="preserve">3.1 Products and pricing</w:t>
      </w:r>
    </w:p>
    <w:p>
      <w:pPr>
        <w:pStyle w:val="Normal"/>
      </w:pPr>
      <w:r>
        <w:t xml:space="preserve">Goal: launch a product variant without involving engineering.</w:t>
      </w:r>
    </w:p>
    <w:p>
      <w:pPr>
        <w:pStyle w:val="Normal"/>
      </w:pPr>
      <w:r>
        <w:t xml:space="preserve">☐ Product created, limits enforced, product disabled safely.</w:t>
      </w:r>
    </w:p>
    <w:p>
      <w:pPr>
        <w:pStyle w:val="Heading2"/>
      </w:pPr>
      <w:r>
        <w:t xml:space="preserve">3.2 Access, KYC oversight and audit</w:t>
      </w:r>
    </w:p>
    <w:p>
      <w:pPr>
        <w:pStyle w:val="Normal"/>
      </w:pPr>
      <w:r>
        <w:t xml:space="preserve">Goal: keep credit decisions separated from administration.</w:t>
      </w:r>
    </w:p>
    <w:p>
      <w:pPr>
        <w:pStyle w:val="Normal"/>
      </w:pPr>
      <w:r>
        <w:t xml:space="preserve">☐ Admin demonstrated least-privilege access and produced an audit export.</w:t>
      </w:r>
    </w:p>
    <w:p>
      <w:pPr>
        <w:pStyle w:val="Heading2"/>
      </w:pPr>
      <w:r>
        <w:t xml:space="preserve">3.3 Settings, data export and health</w:t>
      </w:r>
    </w:p>
    <w:p>
      <w:pPr>
        <w:pStyle w:val="Normal"/>
      </w:pPr>
      <w:r>
        <w:t xml:space="preserve">Goal: control the workspace and answer a data request.</w:t>
      </w:r>
    </w:p>
    <w:p>
      <w:pPr>
        <w:pStyle w:val="Normal"/>
      </w:pPr>
      <w:r>
        <w:t xml:space="preserve">☐ A complete data export was produced and explained.</w:t>
      </w:r>
    </w:p>
    <w:p>
      <w:pPr>
        <w:pStyle w:val="Heading1"/>
      </w:pPr>
      <w:r>
        <w:t xml:space="preserve">Assessment scenarios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Scenario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Expected answer</w:t>
            </w:r>
          </w:p>
        </w:tc>
      </w:tr>
      <w:tr>
        <w:tc>
          <w:tcPr>
            <w:tcW w:w="0" w:type="auto"/>
          </w:tcPr>
          <w:p>
            <w:r>
              <w:t xml:space="preserve">“My application was declined but my score is good.”</w:t>
            </w:r>
          </w:p>
        </w:tc>
        <w:tc>
          <w:tcPr>
            <w:tcW w:w="0" w:type="auto"/>
          </w:tcPr>
          <w:p>
            <w:r>
              <w:t xml:space="preserve">Read the rule results: a hard rule (KYC, watchlist, DTI, tenure) failed. Explain precisely which one and what would change it.</w:t>
            </w:r>
          </w:p>
        </w:tc>
      </w:tr>
      <w:tr>
        <w:tc>
          <w:tcPr>
            <w:tcW w:w="0" w:type="auto"/>
          </w:tcPr>
          <w:p>
            <w:r>
              <w:t xml:space="preserve">Borrower asks to reduce the loan after approval.</w:t>
            </w:r>
          </w:p>
        </w:tc>
        <w:tc>
          <w:tcPr>
            <w:tcW w:w="0" w:type="auto"/>
          </w:tcPr>
          <w:p>
            <w:r>
              <w:t xml:space="preserve">Counter-offer on the workbench rather than editing the offer; the borrower must accept the new terms in writing (e-signature).</w:t>
            </w:r>
          </w:p>
        </w:tc>
      </w:tr>
      <w:tr>
        <w:tc>
          <w:tcPr>
            <w:tcW w:w="0" w:type="auto"/>
          </w:tcPr>
          <w:p>
            <w:r>
              <w:t xml:space="preserve">Payment made on the 5th but the instalment still shows partially paid.</w:t>
            </w:r>
          </w:p>
        </w:tc>
        <w:tc>
          <w:tcPr>
            <w:tcW w:w="0" w:type="auto"/>
          </w:tcPr>
          <w:p>
            <w:r>
              <w:t xml:space="preserve">Check the allocation: late fee and interest clear before principal. If the paid amount is short of the instalment total, the remainder stays due.</w:t>
            </w:r>
          </w:p>
        </w:tc>
      </w:tr>
      <w:tr>
        <w:tc>
          <w:tcPr>
            <w:tcW w:w="0" w:type="auto"/>
          </w:tcPr>
          <w:p>
            <w:r>
              <w:t xml:space="preserve">A borrower stops paying for two months.</w:t>
            </w:r>
          </w:p>
        </w:tc>
        <w:tc>
          <w:tcPr>
            <w:tcW w:w="0" w:type="auto"/>
          </w:tcPr>
          <w:p>
            <w:r>
              <w:t xml:space="preserve">Run the delinquency scan (late fees applied), log collection attempts, then consider a restructuring plan or write-off with a documented reason.</w:t>
            </w:r>
          </w:p>
        </w:tc>
      </w:tr>
      <w:tr>
        <w:tc>
          <w:tcPr>
            <w:tcW w:w="0" w:type="auto"/>
          </w:tcPr>
          <w:p>
            <w:r>
              <w:t xml:space="preserve">Board asks for the arrears position.</w:t>
            </w:r>
          </w:p>
        </w:tc>
        <w:tc>
          <w:tcPr>
            <w:tcW w:w="0" w:type="auto"/>
          </w:tcPr>
          <w:p>
            <w:r>
              <w:t xml:space="preserve">Reports → arrears/ageing, export CSV; the export is audited. Cross-check against Collections activity.</w:t>
            </w:r>
          </w:p>
        </w:tc>
      </w:tr>
    </w:tbl>
    <w:p/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szCs w:val="21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Title">
    <w:name w:val="Title"/>
    <w:basedOn w:val="Normal"/>
    <w:pPr>
      <w:spacing w:before="240" w:after="240"/>
    </w:pPr>
    <w:rPr>
      <w:b/>
      <w:color w:val="792E5B"/>
      <w:sz w:val="44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color w:val="8A2F57"/>
      <w:sz w:val="32"/>
    </w:rPr>
  </w:style>
  <w:style w:type="paragraph" w:styleId="Heading2">
    <w:name w:val="heading 2"/>
    <w:basedOn w:val="Normal"/>
    <w:pPr>
      <w:keepNext/>
      <w:spacing w:before="280" w:after="100"/>
      <w:outlineLvl w:val="1"/>
    </w:pPr>
    <w:rPr>
      <w:b/>
      <w:color w:val="A63A68"/>
      <w:sz w:val="26"/>
    </w:rPr>
  </w:style>
  <w:style w:type="paragraph" w:styleId="ListParagraph">
    <w:name w:val="List Paragraph"/>
    <w:basedOn w:val="Normal"/>
    <w:pPr>
      <w:ind w:left="420" w:hanging="240"/>
      <w:spacing w:after="60"/>
    </w:pPr>
  </w:style>
  <w:style w:type="paragraph" w:styleId="Quote">
    <w:name w:val="Quote"/>
    <w:basedOn w:val="Normal"/>
    <w:pPr>
      <w:ind w:left="480"/>
    </w:pPr>
    <w:rPr>
      <w:i/>
      <w:color w:val="555555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Ngychom Lending — Training Manual</dc:title>
  <dc:creator>Generated from the app's HTML manual</dc:creator>
</cp:coreProperties>
</file>